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B5DE" w14:textId="77777777" w:rsidR="004D5DE2" w:rsidRDefault="004D5DE2" w:rsidP="004D5DE2">
      <w:pPr>
        <w:jc w:val="center"/>
        <w:rPr>
          <w:rFonts w:ascii="Gill Sans MT" w:hAnsi="Gill Sans MT"/>
          <w:b/>
          <w:bCs/>
          <w:sz w:val="28"/>
          <w:szCs w:val="28"/>
        </w:rPr>
      </w:pPr>
      <w:r w:rsidRPr="004D5DE2">
        <w:rPr>
          <w:rFonts w:ascii="Gill Sans MT" w:hAnsi="Gill Sans MT"/>
          <w:b/>
          <w:bCs/>
          <w:sz w:val="28"/>
          <w:szCs w:val="28"/>
        </w:rPr>
        <w:t>Découvrir l’opposition entre classicisme et baroquisme</w:t>
      </w:r>
    </w:p>
    <w:p w14:paraId="71AEB2C1" w14:textId="77777777" w:rsidR="004D5DE2" w:rsidRPr="004D5DE2" w:rsidRDefault="004D5DE2" w:rsidP="004D5DE2">
      <w:pPr>
        <w:jc w:val="center"/>
        <w:rPr>
          <w:rFonts w:ascii="Gill Sans MT" w:hAnsi="Gill Sans MT"/>
          <w:b/>
          <w:bCs/>
          <w:sz w:val="28"/>
          <w:szCs w:val="28"/>
        </w:rPr>
      </w:pPr>
      <w:r w:rsidRPr="004D5DE2">
        <w:rPr>
          <w:rFonts w:ascii="Gill Sans MT" w:hAnsi="Gill Sans MT"/>
          <w:b/>
          <w:bCs/>
          <w:sz w:val="28"/>
          <w:szCs w:val="28"/>
        </w:rPr>
        <w:t xml:space="preserve">à travers </w:t>
      </w:r>
      <w:r w:rsidR="00D363FF">
        <w:rPr>
          <w:rFonts w:ascii="Gill Sans MT" w:hAnsi="Gill Sans MT"/>
          <w:b/>
          <w:bCs/>
          <w:sz w:val="28"/>
          <w:szCs w:val="28"/>
        </w:rPr>
        <w:t>deux tableaux</w:t>
      </w:r>
    </w:p>
    <w:p w14:paraId="560C7D4A" w14:textId="77777777" w:rsidR="004D5DE2" w:rsidRDefault="004D5DE2" w:rsidP="004D5DE2">
      <w:pPr>
        <w:jc w:val="both"/>
        <w:rPr>
          <w:rFonts w:ascii="Gill Sans MT" w:hAnsi="Gill Sans MT"/>
        </w:rPr>
      </w:pPr>
    </w:p>
    <w:p w14:paraId="382F5E5E" w14:textId="77777777" w:rsidR="004D5DE2" w:rsidRPr="004D5DE2" w:rsidRDefault="004D5DE2" w:rsidP="004D5DE2">
      <w:pPr>
        <w:jc w:val="both"/>
        <w:rPr>
          <w:rFonts w:ascii="Gill Sans MT" w:hAnsi="Gill Sans MT"/>
        </w:rPr>
      </w:pPr>
      <w:r w:rsidRPr="004D5DE2">
        <w:rPr>
          <w:rFonts w:ascii="Gill Sans MT" w:hAnsi="Gill Sans MT"/>
        </w:rPr>
        <w:t>Le classicisme peut être opposé à deux autres courants artistiques (arts plastiques et littérature) :</w:t>
      </w:r>
    </w:p>
    <w:p w14:paraId="0C4417DD" w14:textId="709D6357" w:rsidR="004D5DE2" w:rsidRPr="004D5DE2" w:rsidRDefault="004D5DE2" w:rsidP="004D5DE2">
      <w:pPr>
        <w:pStyle w:val="Paragraphedeliste"/>
        <w:numPr>
          <w:ilvl w:val="0"/>
          <w:numId w:val="1"/>
        </w:numPr>
        <w:jc w:val="both"/>
        <w:rPr>
          <w:rFonts w:ascii="Gill Sans MT" w:hAnsi="Gill Sans MT"/>
        </w:rPr>
      </w:pPr>
      <w:r w:rsidRPr="004D5DE2">
        <w:rPr>
          <w:rFonts w:ascii="Gill Sans MT" w:hAnsi="Gill Sans MT"/>
        </w:rPr>
        <w:t>le baroque qui lui est contemporain</w:t>
      </w:r>
      <w:r w:rsidR="008633C1">
        <w:rPr>
          <w:rFonts w:ascii="Gill Sans MT" w:hAnsi="Gill Sans MT"/>
        </w:rPr>
        <w:t xml:space="preserve"> ;</w:t>
      </w:r>
    </w:p>
    <w:p w14:paraId="2B54395A" w14:textId="60F90680" w:rsidR="004D5DE2" w:rsidRPr="004D5DE2" w:rsidRDefault="004D5DE2" w:rsidP="004D5DE2">
      <w:pPr>
        <w:pStyle w:val="Paragraphedeliste"/>
        <w:numPr>
          <w:ilvl w:val="0"/>
          <w:numId w:val="1"/>
        </w:numPr>
        <w:jc w:val="both"/>
        <w:rPr>
          <w:rFonts w:ascii="Gill Sans MT" w:hAnsi="Gill Sans MT"/>
        </w:rPr>
      </w:pPr>
      <w:r w:rsidRPr="004D5DE2">
        <w:rPr>
          <w:rFonts w:ascii="Gill Sans MT" w:hAnsi="Gill Sans MT"/>
        </w:rPr>
        <w:t>le romantisme, courant du 19e siècle qui s’opposera au classicisme (ce sera un point de matière de la deuxième partie de l’année scolaire)</w:t>
      </w:r>
      <w:r w:rsidR="008633C1">
        <w:rPr>
          <w:rFonts w:ascii="Gill Sans MT" w:hAnsi="Gill Sans MT"/>
        </w:rPr>
        <w:t>.</w:t>
      </w:r>
    </w:p>
    <w:p w14:paraId="5928F0C9" w14:textId="01B6E3BD" w:rsidR="004D5DE2" w:rsidRPr="004D5DE2" w:rsidRDefault="004D5DE2" w:rsidP="004D5DE2">
      <w:pPr>
        <w:jc w:val="both"/>
        <w:rPr>
          <w:rFonts w:ascii="Gill Sans MT" w:hAnsi="Gill Sans MT"/>
        </w:rPr>
      </w:pPr>
      <w:r w:rsidRPr="004D5DE2">
        <w:rPr>
          <w:rFonts w:ascii="Gill Sans MT" w:hAnsi="Gill Sans MT"/>
        </w:rPr>
        <w:t>Ce tableau de Rubens est baroque. Il reprend une scène évangélique (Évangile selon Matthieu, ch. 2). Le roi Hérode fait massacrer les nouveau-nés</w:t>
      </w:r>
      <w:r w:rsidR="003F3E5F">
        <w:rPr>
          <w:rFonts w:ascii="Gill Sans MT" w:hAnsi="Gill Sans MT"/>
        </w:rPr>
        <w:t xml:space="preserve"> autour de Bethléem</w:t>
      </w:r>
      <w:r w:rsidRPr="004D5DE2">
        <w:rPr>
          <w:rFonts w:ascii="Gill Sans MT" w:hAnsi="Gill Sans MT"/>
        </w:rPr>
        <w:t xml:space="preserve"> parce qu’il a appris des Rois Mages que venait d</w:t>
      </w:r>
      <w:r w:rsidR="003F3E5F">
        <w:rPr>
          <w:rFonts w:ascii="Gill Sans MT" w:hAnsi="Gill Sans MT"/>
        </w:rPr>
        <w:t>'y</w:t>
      </w:r>
      <w:r w:rsidRPr="004D5DE2">
        <w:rPr>
          <w:rFonts w:ascii="Gill Sans MT" w:hAnsi="Gill Sans MT"/>
        </w:rPr>
        <w:t xml:space="preserve"> naître Jésus</w:t>
      </w:r>
      <w:r w:rsidR="003F3E5F">
        <w:rPr>
          <w:rFonts w:ascii="Gill Sans MT" w:hAnsi="Gill Sans MT"/>
        </w:rPr>
        <w:t>,</w:t>
      </w:r>
      <w:r w:rsidRPr="004D5DE2">
        <w:rPr>
          <w:rFonts w:ascii="Gill Sans MT" w:hAnsi="Gill Sans MT"/>
        </w:rPr>
        <w:t xml:space="preserve"> le Roi d’Israël :</w:t>
      </w:r>
    </w:p>
    <w:p w14:paraId="12AA269D" w14:textId="77777777" w:rsidR="004D5DE2" w:rsidRPr="004D5DE2" w:rsidRDefault="004D5DE2" w:rsidP="004D5DE2">
      <w:pPr>
        <w:jc w:val="center"/>
        <w:rPr>
          <w:rFonts w:ascii="Gill Sans MT" w:hAnsi="Gill Sans MT"/>
        </w:rPr>
      </w:pPr>
      <w:r>
        <w:rPr>
          <w:rFonts w:ascii="Gill Sans MT" w:hAnsi="Gill Sans MT"/>
          <w:noProof/>
        </w:rPr>
        <w:drawing>
          <wp:inline distT="0" distB="0" distL="0" distR="0" wp14:anchorId="424FF687" wp14:editId="10B16D6A">
            <wp:extent cx="5055870" cy="3916181"/>
            <wp:effectExtent l="0" t="0" r="0" b="8255"/>
            <wp:docPr id="1" name="Image 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ens_-_Massacre_of_the_Innocents_-_Art_Gallery_of_Ontario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3682" cy="3922232"/>
                    </a:xfrm>
                    <a:prstGeom prst="rect">
                      <a:avLst/>
                    </a:prstGeom>
                  </pic:spPr>
                </pic:pic>
              </a:graphicData>
            </a:graphic>
          </wp:inline>
        </w:drawing>
      </w:r>
    </w:p>
    <w:p w14:paraId="2498157A" w14:textId="525BE9E7" w:rsidR="004D5DE2" w:rsidRPr="004D5DE2" w:rsidRDefault="004D5DE2" w:rsidP="00DA041A">
      <w:pPr>
        <w:jc w:val="center"/>
        <w:rPr>
          <w:rFonts w:ascii="Gill Sans MT" w:hAnsi="Gill Sans MT"/>
          <w:sz w:val="20"/>
          <w:szCs w:val="20"/>
        </w:rPr>
      </w:pPr>
      <w:r w:rsidRPr="004D5DE2">
        <w:rPr>
          <w:rFonts w:ascii="Gill Sans MT" w:hAnsi="Gill Sans MT"/>
          <w:sz w:val="20"/>
          <w:szCs w:val="20"/>
        </w:rPr>
        <w:t>Pierre-Paul Rubens, Le Massacre des Innocents (1611-1612) - 142 cm X 182 cm</w:t>
      </w:r>
      <w:r w:rsidR="005C4048">
        <w:rPr>
          <w:rFonts w:ascii="Gill Sans MT" w:hAnsi="Gill Sans MT"/>
          <w:sz w:val="20"/>
          <w:szCs w:val="20"/>
        </w:rPr>
        <w:t xml:space="preserve"> - </w:t>
      </w:r>
      <w:r w:rsidR="002C2ABB">
        <w:rPr>
          <w:rFonts w:ascii="Gill Sans MT" w:hAnsi="Gill Sans MT"/>
          <w:sz w:val="20"/>
          <w:szCs w:val="20"/>
        </w:rPr>
        <w:t>Musée des Beaux-Arts de l'Ontario (Toronto, Canada)</w:t>
      </w:r>
    </w:p>
    <w:p w14:paraId="797CA4E3" w14:textId="77777777" w:rsidR="004D5DE2" w:rsidRPr="004D5DE2" w:rsidRDefault="004D5DE2" w:rsidP="004D5DE2">
      <w:pPr>
        <w:jc w:val="both"/>
        <w:rPr>
          <w:rFonts w:ascii="Gill Sans MT" w:hAnsi="Gill Sans MT"/>
        </w:rPr>
      </w:pPr>
      <w:r w:rsidRPr="004D5DE2">
        <w:rPr>
          <w:rFonts w:ascii="Gill Sans MT" w:hAnsi="Gill Sans MT"/>
        </w:rPr>
        <w:t>On trouve clairement dans l’avant-plan les caractéristiques baroques par opposition aux caractéristiques classiques :</w:t>
      </w:r>
    </w:p>
    <w:p w14:paraId="3DCE81D1" w14:textId="77777777" w:rsidR="004D5DE2" w:rsidRPr="004D5DE2" w:rsidRDefault="004D5DE2" w:rsidP="004D5DE2">
      <w:pPr>
        <w:jc w:val="both"/>
        <w:rPr>
          <w:rFonts w:ascii="Gill Sans MT" w:hAnsi="Gill Sans MT"/>
        </w:rPr>
      </w:pPr>
    </w:p>
    <w:p w14:paraId="3656F163" w14:textId="314A51F7"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le désordre de la mêlée l’emporte sur l’ordre qui aurait caractérisé un tableau classique</w:t>
      </w:r>
      <w:r w:rsidR="008633C1">
        <w:rPr>
          <w:rFonts w:ascii="Gill Sans MT" w:hAnsi="Gill Sans MT"/>
        </w:rPr>
        <w:t xml:space="preserve"> ;</w:t>
      </w:r>
    </w:p>
    <w:p w14:paraId="4077413A" w14:textId="77D935B2"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de nombreux éléments sont de mauvais goût et choquent (alors que l’art classique se refuse à ce qui choque, est de mauvais goût au profit d’une idéalisation du réel) : particulièrement l’aspect cadavérique de la femme au centre, du bébé à l’avant-plan en bas à gauche, le visage d’un bébé en train de verdir en bas au centre droit</w:t>
      </w:r>
      <w:r w:rsidR="008633C1">
        <w:rPr>
          <w:rFonts w:ascii="Gill Sans MT" w:hAnsi="Gill Sans MT"/>
        </w:rPr>
        <w:t xml:space="preserve"> ;</w:t>
      </w:r>
    </w:p>
    <w:p w14:paraId="3A0E14E1" w14:textId="58F13BAE"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lastRenderedPageBreak/>
        <w:t>la prééminence de la courbe sur la ligne droite à l’avant-plan (par opposition à l’arrière-plan grisé : plus classique)</w:t>
      </w:r>
      <w:r w:rsidR="008633C1">
        <w:rPr>
          <w:rFonts w:ascii="Gill Sans MT" w:hAnsi="Gill Sans MT"/>
        </w:rPr>
        <w:t xml:space="preserve"> ;</w:t>
      </w:r>
    </w:p>
    <w:p w14:paraId="4943C82A" w14:textId="4EDB81FE"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la mise en avant de l’émotionnel, du passionnel, qui l’emporte sur la raison, sur la maîtrise de soi</w:t>
      </w:r>
      <w:r w:rsidR="008633C1">
        <w:rPr>
          <w:rFonts w:ascii="Gill Sans MT" w:hAnsi="Gill Sans MT"/>
        </w:rPr>
        <w:t xml:space="preserve"> ;</w:t>
      </w:r>
    </w:p>
    <w:p w14:paraId="4862D796" w14:textId="77777777"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le goût de la vitalité dans ses débordements : la plantureuse femme placée au centre du tableau</w:t>
      </w:r>
    </w:p>
    <w:p w14:paraId="12F577A7" w14:textId="43125302"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le goût des contrastes marqués (la jeune femme plantureuse est prolongée par une vieille femme déformée, déjà cadavérique)</w:t>
      </w:r>
      <w:r w:rsidR="008633C1">
        <w:rPr>
          <w:rFonts w:ascii="Gill Sans MT" w:hAnsi="Gill Sans MT"/>
        </w:rPr>
        <w:t xml:space="preserve"> ;</w:t>
      </w:r>
    </w:p>
    <w:p w14:paraId="6DFBF331" w14:textId="310753C9" w:rsidR="004D5DE2" w:rsidRPr="004D5DE2" w:rsidRDefault="004D5DE2" w:rsidP="004D5DE2">
      <w:pPr>
        <w:pStyle w:val="Paragraphedeliste"/>
        <w:numPr>
          <w:ilvl w:val="0"/>
          <w:numId w:val="2"/>
        </w:numPr>
        <w:jc w:val="both"/>
        <w:rPr>
          <w:rFonts w:ascii="Gill Sans MT" w:hAnsi="Gill Sans MT"/>
        </w:rPr>
      </w:pPr>
      <w:r w:rsidRPr="004D5DE2">
        <w:rPr>
          <w:rFonts w:ascii="Gill Sans MT" w:hAnsi="Gill Sans MT"/>
        </w:rPr>
        <w:t>le clair-obscur (les classiques optent davantage pour une lumière diffuse)</w:t>
      </w:r>
      <w:r w:rsidR="008633C1">
        <w:rPr>
          <w:rFonts w:ascii="Gill Sans MT" w:hAnsi="Gill Sans MT"/>
        </w:rPr>
        <w:t>.</w:t>
      </w:r>
    </w:p>
    <w:p w14:paraId="75ADA179" w14:textId="77777777" w:rsidR="004D5DE2" w:rsidRPr="004D5DE2" w:rsidRDefault="004D5DE2" w:rsidP="004D5DE2">
      <w:pPr>
        <w:jc w:val="both"/>
        <w:rPr>
          <w:rFonts w:ascii="Gill Sans MT" w:hAnsi="Gill Sans MT"/>
        </w:rPr>
      </w:pPr>
    </w:p>
    <w:p w14:paraId="211896C5" w14:textId="77777777" w:rsidR="004D5DE2" w:rsidRDefault="004D5DE2" w:rsidP="004D5DE2">
      <w:pPr>
        <w:jc w:val="both"/>
        <w:rPr>
          <w:rFonts w:ascii="Gill Sans MT" w:hAnsi="Gill Sans MT"/>
        </w:rPr>
      </w:pPr>
      <w:r w:rsidRPr="004D5DE2">
        <w:rPr>
          <w:rFonts w:ascii="Gill Sans MT" w:hAnsi="Gill Sans MT"/>
        </w:rPr>
        <w:t>Ce tableau de Nicolas Poussin, même si y apparaît la sensibilité baroque, est dominé par le souci classique de l’ordre, de l’harmonie quelque peu figée, de la maîtrise des émotions, du passionnel. C’est une scène de l’Ancien Testament : deux prostituées se présentent devant le Roi Salomon. Elles dormaient ensemble avec leur enfant respectif, mais l’une des deux a écrasé son enfant. Elles réclament chacune le survivant et Salomon décide de le trancher en deux pour en remettre la moitié à chacune :</w:t>
      </w:r>
    </w:p>
    <w:p w14:paraId="475CC820" w14:textId="77777777" w:rsidR="004D5DE2" w:rsidRPr="004D5DE2" w:rsidRDefault="004D5DE2" w:rsidP="00DA041A">
      <w:pPr>
        <w:jc w:val="center"/>
        <w:rPr>
          <w:rFonts w:ascii="Gill Sans MT" w:hAnsi="Gill Sans MT"/>
        </w:rPr>
      </w:pPr>
      <w:r>
        <w:rPr>
          <w:rFonts w:ascii="Gill Sans MT" w:hAnsi="Gill Sans MT"/>
          <w:noProof/>
        </w:rPr>
        <w:drawing>
          <wp:inline distT="0" distB="0" distL="0" distR="0" wp14:anchorId="01BF4338" wp14:editId="2182684E">
            <wp:extent cx="5743660" cy="3848100"/>
            <wp:effectExtent l="0" t="0" r="9525" b="0"/>
            <wp:docPr id="2" name="Image 2" descr="Une image contenant bâtiment, personne, extérie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83-poussin-salomon-a-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173" cy="3858493"/>
                    </a:xfrm>
                    <a:prstGeom prst="rect">
                      <a:avLst/>
                    </a:prstGeom>
                  </pic:spPr>
                </pic:pic>
              </a:graphicData>
            </a:graphic>
          </wp:inline>
        </w:drawing>
      </w:r>
    </w:p>
    <w:p w14:paraId="4D76552E" w14:textId="4B75F779" w:rsidR="004D5DE2" w:rsidRPr="004D5DE2" w:rsidRDefault="004D5DE2" w:rsidP="00DA041A">
      <w:pPr>
        <w:jc w:val="center"/>
        <w:rPr>
          <w:rFonts w:ascii="Gill Sans MT" w:hAnsi="Gill Sans MT"/>
          <w:sz w:val="20"/>
          <w:szCs w:val="20"/>
        </w:rPr>
      </w:pPr>
      <w:r w:rsidRPr="004D5DE2">
        <w:rPr>
          <w:rFonts w:ascii="Gill Sans MT" w:hAnsi="Gill Sans MT"/>
          <w:sz w:val="20"/>
          <w:szCs w:val="20"/>
        </w:rPr>
        <w:t>Nicolas Poussin, Le Jugement du Roi Salomon (1649) - 101 cm X 150 cm - Musée du Louvre (Paris</w:t>
      </w:r>
      <w:r w:rsidR="002C2ABB">
        <w:rPr>
          <w:rFonts w:ascii="Gill Sans MT" w:hAnsi="Gill Sans MT"/>
          <w:sz w:val="20"/>
          <w:szCs w:val="20"/>
        </w:rPr>
        <w:t>, France</w:t>
      </w:r>
      <w:r w:rsidRPr="004D5DE2">
        <w:rPr>
          <w:rFonts w:ascii="Gill Sans MT" w:hAnsi="Gill Sans MT"/>
          <w:sz w:val="20"/>
          <w:szCs w:val="20"/>
        </w:rPr>
        <w:t>)</w:t>
      </w:r>
    </w:p>
    <w:p w14:paraId="4FAEB295" w14:textId="77777777" w:rsidR="004D5DE2" w:rsidRPr="004D5DE2" w:rsidRDefault="004D5DE2" w:rsidP="004D5DE2">
      <w:pPr>
        <w:jc w:val="both"/>
        <w:rPr>
          <w:rFonts w:ascii="Gill Sans MT" w:hAnsi="Gill Sans MT"/>
        </w:rPr>
      </w:pPr>
    </w:p>
    <w:p w14:paraId="7C05D50B" w14:textId="77777777" w:rsidR="004D5DE2" w:rsidRPr="004D5DE2" w:rsidRDefault="004D5DE2" w:rsidP="004D5DE2">
      <w:pPr>
        <w:jc w:val="both"/>
        <w:rPr>
          <w:rFonts w:ascii="Gill Sans MT" w:hAnsi="Gill Sans MT"/>
        </w:rPr>
      </w:pPr>
      <w:r w:rsidRPr="004D5DE2">
        <w:rPr>
          <w:rFonts w:ascii="Gill Sans MT" w:hAnsi="Gill Sans MT"/>
        </w:rPr>
        <w:t>Tableau intéressant parce que la sensibilité baroque y est présente dans le traitement des deux femmes :</w:t>
      </w:r>
    </w:p>
    <w:p w14:paraId="06CAFBD0" w14:textId="2DD7D5A6" w:rsidR="004D5DE2" w:rsidRPr="00DA041A" w:rsidRDefault="008633C1" w:rsidP="00DA041A">
      <w:pPr>
        <w:pStyle w:val="Paragraphedeliste"/>
        <w:numPr>
          <w:ilvl w:val="0"/>
          <w:numId w:val="3"/>
        </w:numPr>
        <w:jc w:val="both"/>
        <w:rPr>
          <w:rFonts w:ascii="Gill Sans MT" w:hAnsi="Gill Sans MT"/>
        </w:rPr>
      </w:pPr>
      <w:r>
        <w:rPr>
          <w:rFonts w:ascii="Gill Sans MT" w:hAnsi="Gill Sans MT"/>
        </w:rPr>
        <w:t>d</w:t>
      </w:r>
      <w:r w:rsidR="004D5DE2" w:rsidRPr="00DA041A">
        <w:rPr>
          <w:rFonts w:ascii="Gill Sans MT" w:hAnsi="Gill Sans MT"/>
        </w:rPr>
        <w:t>avantage de mouvement, de désordre que dans le reste du tableau</w:t>
      </w:r>
      <w:r w:rsidR="00D363FF">
        <w:rPr>
          <w:rFonts w:ascii="Arial" w:hAnsi="Arial" w:cs="Arial"/>
        </w:rPr>
        <w:t> </w:t>
      </w:r>
      <w:r w:rsidR="004D5DE2" w:rsidRPr="00DA041A">
        <w:rPr>
          <w:rFonts w:ascii="Gill Sans MT" w:hAnsi="Gill Sans MT"/>
        </w:rPr>
        <w:t>;</w:t>
      </w:r>
    </w:p>
    <w:p w14:paraId="342B14EF" w14:textId="5045D834" w:rsidR="004D5DE2" w:rsidRPr="00DA041A" w:rsidRDefault="008633C1" w:rsidP="00DA041A">
      <w:pPr>
        <w:pStyle w:val="Paragraphedeliste"/>
        <w:numPr>
          <w:ilvl w:val="0"/>
          <w:numId w:val="3"/>
        </w:numPr>
        <w:jc w:val="both"/>
        <w:rPr>
          <w:rFonts w:ascii="Gill Sans MT" w:hAnsi="Gill Sans MT"/>
        </w:rPr>
      </w:pPr>
      <w:r>
        <w:rPr>
          <w:rFonts w:ascii="Gill Sans MT" w:hAnsi="Gill Sans MT"/>
        </w:rPr>
        <w:t>d</w:t>
      </w:r>
      <w:r w:rsidR="004D5DE2" w:rsidRPr="00DA041A">
        <w:rPr>
          <w:rFonts w:ascii="Gill Sans MT" w:hAnsi="Gill Sans MT"/>
        </w:rPr>
        <w:t>rapés plus torsadés, moins hiératiques</w:t>
      </w:r>
      <w:r w:rsidR="00D363FF">
        <w:rPr>
          <w:rFonts w:ascii="Arial" w:hAnsi="Arial" w:cs="Arial"/>
        </w:rPr>
        <w:t> </w:t>
      </w:r>
      <w:r w:rsidR="004D5DE2" w:rsidRPr="00DA041A">
        <w:rPr>
          <w:rFonts w:ascii="Gill Sans MT" w:hAnsi="Gill Sans MT"/>
        </w:rPr>
        <w:t>;</w:t>
      </w:r>
    </w:p>
    <w:p w14:paraId="73CEDB67" w14:textId="43D5C682" w:rsidR="004D5DE2" w:rsidRPr="00DA041A" w:rsidRDefault="008633C1" w:rsidP="00DA041A">
      <w:pPr>
        <w:pStyle w:val="Paragraphedeliste"/>
        <w:numPr>
          <w:ilvl w:val="0"/>
          <w:numId w:val="3"/>
        </w:numPr>
        <w:jc w:val="both"/>
        <w:rPr>
          <w:rFonts w:ascii="Gill Sans MT" w:hAnsi="Gill Sans MT"/>
        </w:rPr>
      </w:pPr>
      <w:r>
        <w:rPr>
          <w:rFonts w:ascii="Gill Sans MT" w:hAnsi="Gill Sans MT"/>
        </w:rPr>
        <w:t>m</w:t>
      </w:r>
      <w:r w:rsidR="004D5DE2" w:rsidRPr="00DA041A">
        <w:rPr>
          <w:rFonts w:ascii="Gill Sans MT" w:hAnsi="Gill Sans MT"/>
        </w:rPr>
        <w:t>ise en valeur de la forte charge émotionnelle, passionnelle, qui domine les deux femmes : l’une, celle qui porte son enfant mort, est représentée comme haineuse à travers un teint morbide proche du teint du cadavre qu’elle porte</w:t>
      </w:r>
      <w:r w:rsidR="00D363FF">
        <w:rPr>
          <w:rFonts w:ascii="Arial" w:hAnsi="Arial" w:cs="Arial"/>
        </w:rPr>
        <w:t> </w:t>
      </w:r>
      <w:r w:rsidR="004D5DE2" w:rsidRPr="00DA041A">
        <w:rPr>
          <w:rFonts w:ascii="Gill Sans MT" w:hAnsi="Gill Sans MT"/>
        </w:rPr>
        <w:t>;</w:t>
      </w:r>
    </w:p>
    <w:p w14:paraId="61C402AA" w14:textId="116760E1" w:rsidR="004D5DE2" w:rsidRPr="00DA041A" w:rsidRDefault="008633C1" w:rsidP="004D5DE2">
      <w:pPr>
        <w:pStyle w:val="Paragraphedeliste"/>
        <w:numPr>
          <w:ilvl w:val="0"/>
          <w:numId w:val="3"/>
        </w:numPr>
        <w:jc w:val="both"/>
        <w:rPr>
          <w:rFonts w:ascii="Gill Sans MT" w:hAnsi="Gill Sans MT"/>
        </w:rPr>
      </w:pPr>
      <w:r>
        <w:rPr>
          <w:rFonts w:ascii="Gill Sans MT" w:hAnsi="Gill Sans MT"/>
        </w:rPr>
        <w:t>l</w:t>
      </w:r>
      <w:r w:rsidR="004D5DE2" w:rsidRPr="00DA041A">
        <w:rPr>
          <w:rFonts w:ascii="Gill Sans MT" w:hAnsi="Gill Sans MT"/>
        </w:rPr>
        <w:t>e goût du mauvais goût et du choquant n’est pas absent dans la représentation du cadavre.</w:t>
      </w:r>
    </w:p>
    <w:p w14:paraId="37A72487" w14:textId="77777777" w:rsidR="004D5DE2" w:rsidRPr="004D5DE2" w:rsidRDefault="004D5DE2" w:rsidP="004D5DE2">
      <w:pPr>
        <w:jc w:val="both"/>
        <w:rPr>
          <w:rFonts w:ascii="Gill Sans MT" w:hAnsi="Gill Sans MT"/>
        </w:rPr>
      </w:pPr>
      <w:r w:rsidRPr="004D5DE2">
        <w:rPr>
          <w:rFonts w:ascii="Gill Sans MT" w:hAnsi="Gill Sans MT"/>
        </w:rPr>
        <w:t>Toutefois la tonalité, l’esthétique et la morale classique l’emportent sur le désordre émotionnel baroque auquel le sage roi Salomon va mettre fin :</w:t>
      </w:r>
    </w:p>
    <w:p w14:paraId="223110AF"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L’arrière-plan architectural s’impose par sa symétrie et sa tranquillité : classicisme.</w:t>
      </w:r>
    </w:p>
    <w:p w14:paraId="4F59C18C"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La composition générale du tableau est symétrique : classicisme.</w:t>
      </w:r>
    </w:p>
    <w:p w14:paraId="4162E5A3" w14:textId="45FC4A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La lumière est diffuse, pacifiante et harmonieuse : classicisme</w:t>
      </w:r>
      <w:r w:rsidR="008633C1">
        <w:rPr>
          <w:rFonts w:ascii="Gill Sans MT" w:hAnsi="Gill Sans MT"/>
        </w:rPr>
        <w:t>.</w:t>
      </w:r>
      <w:bookmarkStart w:id="0" w:name="_GoBack"/>
      <w:bookmarkEnd w:id="0"/>
    </w:p>
    <w:p w14:paraId="0A106686"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La raison sage du jeune roi rétablit l’ordre social perturbé par le passionnel qu’incarnent les deux femmes : classicisme.</w:t>
      </w:r>
    </w:p>
    <w:p w14:paraId="3239E105"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La plus "honnête" des deux femmes est récompensée : classicisme.</w:t>
      </w:r>
    </w:p>
    <w:p w14:paraId="717A5B73"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Le soldat qui s’apprête à trancher l’enfant survivant est dans une posture plus hiératique que les soldats de Rubens, il est davantage maître de lui. Il fait son travail sans passion, sans être emporté par quelque cruauté que ce soit : classicisme.</w:t>
      </w:r>
    </w:p>
    <w:p w14:paraId="7E13346C" w14:textId="77777777" w:rsidR="004D5DE2" w:rsidRPr="00DA041A" w:rsidRDefault="004D5DE2" w:rsidP="004D5DE2">
      <w:pPr>
        <w:pStyle w:val="Paragraphedeliste"/>
        <w:numPr>
          <w:ilvl w:val="0"/>
          <w:numId w:val="4"/>
        </w:numPr>
        <w:jc w:val="both"/>
        <w:rPr>
          <w:rFonts w:ascii="Gill Sans MT" w:hAnsi="Gill Sans MT"/>
        </w:rPr>
      </w:pPr>
      <w:r w:rsidRPr="00DA041A">
        <w:rPr>
          <w:rFonts w:ascii="Gill Sans MT" w:hAnsi="Gill Sans MT"/>
        </w:rPr>
        <w:t>Le jeune roi a un drapé droit, non tourmenté. Il apparaît maître de lui, parfaitement stable sur ses appuis. Ses bras sont quasi symétriques : il a juste le bras droit (le droit : pas le gauche</w:t>
      </w:r>
      <w:r w:rsidR="00D363FF">
        <w:rPr>
          <w:rFonts w:ascii="Arial" w:hAnsi="Arial" w:cs="Arial"/>
        </w:rPr>
        <w:t> </w:t>
      </w:r>
      <w:r w:rsidRPr="00DA041A">
        <w:rPr>
          <w:rFonts w:ascii="Gill Sans MT" w:hAnsi="Gill Sans MT"/>
        </w:rPr>
        <w:t>!) légèrement levé parce qu’il désigne la femme à qui il remet finalement l’enfant. Le roi garant de l’ordre établi et qui le rétablit ou le maintient quand il est menacé : classicisme.</w:t>
      </w:r>
    </w:p>
    <w:p w14:paraId="41CF17EF" w14:textId="77777777" w:rsidR="004D5DE2" w:rsidRPr="00DA041A" w:rsidRDefault="004D5DE2" w:rsidP="00DA041A">
      <w:pPr>
        <w:pStyle w:val="Paragraphedeliste"/>
        <w:numPr>
          <w:ilvl w:val="0"/>
          <w:numId w:val="4"/>
        </w:numPr>
        <w:jc w:val="both"/>
        <w:rPr>
          <w:rFonts w:ascii="Gill Sans MT" w:hAnsi="Gill Sans MT"/>
        </w:rPr>
      </w:pPr>
      <w:r w:rsidRPr="00DA041A">
        <w:rPr>
          <w:rFonts w:ascii="Gill Sans MT" w:hAnsi="Gill Sans MT"/>
        </w:rPr>
        <w:t>Le raisonnable, le rationnel, l’emporte sur le passionnel et le mensonge : classicisme.</w:t>
      </w:r>
    </w:p>
    <w:p w14:paraId="40D5F9AD" w14:textId="77777777" w:rsidR="004D5DE2" w:rsidRPr="004D5DE2" w:rsidRDefault="004D5DE2" w:rsidP="004D5DE2">
      <w:pPr>
        <w:jc w:val="both"/>
        <w:rPr>
          <w:rFonts w:ascii="Gill Sans MT" w:hAnsi="Gill Sans MT"/>
        </w:rPr>
      </w:pPr>
    </w:p>
    <w:p w14:paraId="6BD8311F" w14:textId="77777777" w:rsidR="004D5DE2" w:rsidRPr="00D363FF" w:rsidRDefault="004D5DE2" w:rsidP="004D5DE2">
      <w:pPr>
        <w:jc w:val="both"/>
        <w:rPr>
          <w:rFonts w:ascii="Gill Sans MT" w:hAnsi="Gill Sans MT"/>
          <w:b/>
          <w:bCs/>
        </w:rPr>
      </w:pPr>
      <w:r w:rsidRPr="00D363FF">
        <w:rPr>
          <w:rFonts w:ascii="Gill Sans MT" w:hAnsi="Gill Sans MT"/>
          <w:b/>
          <w:bCs/>
        </w:rPr>
        <w:t>Le récit dans le chapitre 3 du Premier Livre des Rois :</w:t>
      </w:r>
    </w:p>
    <w:p w14:paraId="5FE152D8" w14:textId="77777777" w:rsidR="004D5DE2" w:rsidRPr="004D5DE2" w:rsidRDefault="004D5DE2" w:rsidP="00DA041A">
      <w:pPr>
        <w:ind w:left="567"/>
        <w:jc w:val="both"/>
        <w:rPr>
          <w:rFonts w:ascii="Gill Sans MT" w:hAnsi="Gill Sans MT"/>
        </w:rPr>
      </w:pPr>
      <w:r w:rsidRPr="004D5DE2">
        <w:rPr>
          <w:rFonts w:ascii="Gill Sans MT" w:hAnsi="Gill Sans MT"/>
        </w:rPr>
        <w:t xml:space="preserve">En ce temps-là, deux femmes </w:t>
      </w:r>
      <w:r w:rsidRPr="00DA041A">
        <w:rPr>
          <w:rFonts w:ascii="Gill Sans MT" w:hAnsi="Gill Sans MT"/>
          <w:i/>
          <w:iCs/>
        </w:rPr>
        <w:t>de mauvaise vie vinrent se présenter devant le roi Salomon. Et l’une de ces femmes dit : «</w:t>
      </w:r>
      <w:r w:rsidR="00D363FF">
        <w:rPr>
          <w:rFonts w:ascii="Arial" w:hAnsi="Arial" w:cs="Arial"/>
          <w:i/>
          <w:iCs/>
        </w:rPr>
        <w:t> </w:t>
      </w:r>
      <w:r w:rsidRPr="00DA041A">
        <w:rPr>
          <w:rFonts w:ascii="Gill Sans MT" w:hAnsi="Gill Sans MT"/>
          <w:i/>
          <w:iCs/>
        </w:rPr>
        <w:t>Écoute-moi, Seigneur</w:t>
      </w:r>
      <w:r w:rsidR="00D363FF">
        <w:rPr>
          <w:rFonts w:ascii="Arial" w:hAnsi="Arial" w:cs="Arial"/>
          <w:i/>
          <w:iCs/>
        </w:rPr>
        <w:t> </w:t>
      </w:r>
      <w:r w:rsidRPr="00DA041A">
        <w:rPr>
          <w:rFonts w:ascii="Gill Sans MT" w:hAnsi="Gill Sans MT"/>
          <w:i/>
          <w:iCs/>
        </w:rPr>
        <w:t>! Moi et cette femme nous habitons la même maison</w:t>
      </w:r>
      <w:r w:rsidR="00D363FF">
        <w:rPr>
          <w:rFonts w:ascii="Arial" w:hAnsi="Arial" w:cs="Arial"/>
          <w:i/>
          <w:iCs/>
        </w:rPr>
        <w:t> </w:t>
      </w:r>
      <w:r w:rsidRPr="00DA041A">
        <w:rPr>
          <w:rFonts w:ascii="Gill Sans MT" w:hAnsi="Gill Sans MT"/>
          <w:i/>
          <w:iCs/>
        </w:rPr>
        <w:t>; j’y ai donné naissance à un enfant, étant avec elle. Trois jours après ma délivrance, cette femme a également accouché. Or, nous vivons ensemble, nul étranger n’habite avec nous la maison, nous deux seules y demeurons. Pendant la nuit, l’enfant de cette femme est mort, parce qu’elle s’était couchée sur lui. Mais elle s’est levée au milieu de la nuit, a enlevé mon fils d’auprès de moi, tandis que ta servante était endormie, l’a couchée sur son sein, et son fils qui était mort, elle l’a déposé entre mes bras.</w:t>
      </w:r>
      <w:r w:rsidR="00DA041A">
        <w:rPr>
          <w:rFonts w:ascii="Gill Sans MT" w:hAnsi="Gill Sans MT"/>
          <w:i/>
          <w:iCs/>
        </w:rPr>
        <w:t xml:space="preserve"> </w:t>
      </w:r>
      <w:r w:rsidRPr="00DA041A">
        <w:rPr>
          <w:rFonts w:ascii="Gill Sans MT" w:hAnsi="Gill Sans MT"/>
          <w:i/>
          <w:iCs/>
        </w:rPr>
        <w:t>Comme je me disposais, le matin, à allaiter mon enfant, voici, il était mort</w:t>
      </w:r>
      <w:r w:rsidR="00D363FF">
        <w:rPr>
          <w:rFonts w:ascii="Arial" w:hAnsi="Arial" w:cs="Arial"/>
          <w:i/>
          <w:iCs/>
        </w:rPr>
        <w:t> </w:t>
      </w:r>
      <w:r w:rsidRPr="00DA041A">
        <w:rPr>
          <w:rFonts w:ascii="Gill Sans MT" w:hAnsi="Gill Sans MT"/>
          <w:i/>
          <w:iCs/>
        </w:rPr>
        <w:t>! Je l’examinai attentivement quand il fit grand jour, et ce n’était pas là le fils que j’avais enfanté.</w:t>
      </w:r>
      <w:r w:rsidR="00D363FF">
        <w:rPr>
          <w:rFonts w:ascii="Arial" w:hAnsi="Arial" w:cs="Arial"/>
        </w:rPr>
        <w:t> </w:t>
      </w:r>
      <w:r w:rsidRPr="004D5DE2">
        <w:rPr>
          <w:rFonts w:ascii="Gill Sans MT" w:hAnsi="Gill Sans MT"/>
        </w:rPr>
        <w:t>»</w:t>
      </w:r>
    </w:p>
    <w:p w14:paraId="6234078D" w14:textId="77777777" w:rsidR="004D5DE2" w:rsidRPr="004D5DE2" w:rsidRDefault="004D5DE2" w:rsidP="00DA041A">
      <w:pPr>
        <w:ind w:left="567"/>
        <w:jc w:val="both"/>
        <w:rPr>
          <w:rFonts w:ascii="Gill Sans MT" w:hAnsi="Gill Sans MT"/>
        </w:rPr>
      </w:pPr>
      <w:r w:rsidRPr="004D5DE2">
        <w:rPr>
          <w:rFonts w:ascii="Gill Sans MT" w:hAnsi="Gill Sans MT"/>
        </w:rPr>
        <w:t>«</w:t>
      </w:r>
      <w:r w:rsidR="00D363FF">
        <w:rPr>
          <w:rFonts w:ascii="Arial" w:hAnsi="Arial" w:cs="Arial"/>
        </w:rPr>
        <w:t> </w:t>
      </w:r>
      <w:r w:rsidRPr="00DA041A">
        <w:rPr>
          <w:rFonts w:ascii="Gill Sans MT" w:hAnsi="Gill Sans MT"/>
          <w:i/>
          <w:iCs/>
        </w:rPr>
        <w:t>Non pas</w:t>
      </w:r>
      <w:r w:rsidR="00D363FF">
        <w:rPr>
          <w:rFonts w:ascii="Arial" w:hAnsi="Arial" w:cs="Arial"/>
          <w:i/>
          <w:iCs/>
        </w:rPr>
        <w:t> </w:t>
      </w:r>
      <w:r w:rsidRPr="00DA041A">
        <w:rPr>
          <w:rFonts w:ascii="Gill Sans MT" w:hAnsi="Gill Sans MT"/>
          <w:i/>
          <w:iCs/>
        </w:rPr>
        <w:t>! dit l’autre femme, mon fils est vivant, et c’est le tien qui est mort</w:t>
      </w:r>
      <w:r w:rsidR="00D363FF">
        <w:rPr>
          <w:rFonts w:ascii="Arial" w:hAnsi="Arial" w:cs="Arial"/>
          <w:i/>
          <w:iCs/>
        </w:rPr>
        <w:t> </w:t>
      </w:r>
      <w:r w:rsidRPr="00DA041A">
        <w:rPr>
          <w:rFonts w:ascii="Gill Sans MT" w:hAnsi="Gill Sans MT"/>
          <w:i/>
          <w:iCs/>
        </w:rPr>
        <w:t>! Point du tout, reprit la première, c’est le tien qui est mort, celui qui vit est le mien</w:t>
      </w:r>
      <w:r w:rsidR="00D363FF">
        <w:rPr>
          <w:rFonts w:ascii="Arial" w:hAnsi="Arial" w:cs="Arial"/>
          <w:i/>
          <w:iCs/>
        </w:rPr>
        <w:t> </w:t>
      </w:r>
      <w:r w:rsidRPr="00DA041A">
        <w:rPr>
          <w:rFonts w:ascii="Gill Sans MT" w:hAnsi="Gill Sans MT"/>
          <w:i/>
          <w:iCs/>
        </w:rPr>
        <w:t>!</w:t>
      </w:r>
      <w:r w:rsidR="00D363FF">
        <w:rPr>
          <w:rFonts w:ascii="Arial" w:hAnsi="Arial" w:cs="Arial"/>
        </w:rPr>
        <w:t> </w:t>
      </w:r>
      <w:r w:rsidRPr="004D5DE2">
        <w:rPr>
          <w:rFonts w:ascii="Gill Sans MT" w:hAnsi="Gill Sans MT"/>
        </w:rPr>
        <w:t>» </w:t>
      </w:r>
    </w:p>
    <w:p w14:paraId="01129953" w14:textId="77777777" w:rsidR="004D5DE2" w:rsidRPr="004D5DE2" w:rsidRDefault="004D5DE2" w:rsidP="00DA041A">
      <w:pPr>
        <w:ind w:left="567"/>
        <w:jc w:val="both"/>
        <w:rPr>
          <w:rFonts w:ascii="Gill Sans MT" w:hAnsi="Gill Sans MT"/>
        </w:rPr>
      </w:pPr>
      <w:r w:rsidRPr="004D5DE2">
        <w:rPr>
          <w:rFonts w:ascii="Gill Sans MT" w:hAnsi="Gill Sans MT"/>
        </w:rPr>
        <w:t xml:space="preserve">C’est ainsi qu’elles discutaient devant le roi. Le roi dit alors : </w:t>
      </w:r>
      <w:r w:rsidRPr="00DA041A">
        <w:rPr>
          <w:rFonts w:ascii="Gill Sans MT" w:hAnsi="Gill Sans MT"/>
          <w:i/>
          <w:iCs/>
        </w:rPr>
        <w:t>«</w:t>
      </w:r>
      <w:r w:rsidR="00D363FF">
        <w:rPr>
          <w:rFonts w:ascii="Arial" w:hAnsi="Arial" w:cs="Arial"/>
          <w:i/>
          <w:iCs/>
        </w:rPr>
        <w:t> </w:t>
      </w:r>
      <w:r w:rsidRPr="00DA041A">
        <w:rPr>
          <w:rFonts w:ascii="Gill Sans MT" w:hAnsi="Gill Sans MT"/>
          <w:i/>
          <w:iCs/>
        </w:rPr>
        <w:t>L’une dit : Cet enfant qui vit est le mien, et c’est le tien qui est mort</w:t>
      </w:r>
      <w:r w:rsidR="00D363FF">
        <w:rPr>
          <w:rFonts w:ascii="Arial" w:hAnsi="Arial" w:cs="Arial"/>
          <w:i/>
          <w:iCs/>
        </w:rPr>
        <w:t> </w:t>
      </w:r>
      <w:r w:rsidRPr="00DA041A">
        <w:rPr>
          <w:rFonts w:ascii="Gill Sans MT" w:hAnsi="Gill Sans MT"/>
          <w:i/>
          <w:iCs/>
        </w:rPr>
        <w:t>; l’autre dit : Non, c’est le tien qui est mort, celui qui vit est le mien.</w:t>
      </w:r>
      <w:r w:rsidR="00D363FF">
        <w:rPr>
          <w:rFonts w:ascii="Arial" w:hAnsi="Arial" w:cs="Arial"/>
        </w:rPr>
        <w:t> </w:t>
      </w:r>
      <w:r w:rsidRPr="004D5DE2">
        <w:rPr>
          <w:rFonts w:ascii="Gill Sans MT" w:hAnsi="Gill Sans MT"/>
        </w:rPr>
        <w:t>» Le roi ajouta : «</w:t>
      </w:r>
      <w:r w:rsidR="00D363FF">
        <w:rPr>
          <w:rFonts w:ascii="Arial" w:hAnsi="Arial" w:cs="Arial"/>
        </w:rPr>
        <w:t> </w:t>
      </w:r>
      <w:r w:rsidRPr="00DA041A">
        <w:rPr>
          <w:rFonts w:ascii="Gill Sans MT" w:hAnsi="Gill Sans MT"/>
          <w:i/>
          <w:iCs/>
        </w:rPr>
        <w:t>Apportez-moi un glaive</w:t>
      </w:r>
      <w:r w:rsidR="00D363FF">
        <w:rPr>
          <w:rFonts w:ascii="Arial" w:hAnsi="Arial" w:cs="Arial"/>
        </w:rPr>
        <w:t> </w:t>
      </w:r>
      <w:r w:rsidRPr="004D5DE2">
        <w:rPr>
          <w:rFonts w:ascii="Gill Sans MT" w:hAnsi="Gill Sans MT"/>
        </w:rPr>
        <w:t>»</w:t>
      </w:r>
      <w:r w:rsidR="00D363FF">
        <w:rPr>
          <w:rFonts w:ascii="Arial" w:hAnsi="Arial" w:cs="Arial"/>
        </w:rPr>
        <w:t> </w:t>
      </w:r>
      <w:r w:rsidRPr="004D5DE2">
        <w:rPr>
          <w:rFonts w:ascii="Gill Sans MT" w:hAnsi="Gill Sans MT"/>
        </w:rPr>
        <w:t>; et l’on présenta un glaive au roi. Et le roi dit : «</w:t>
      </w:r>
      <w:r w:rsidR="00D363FF">
        <w:rPr>
          <w:rFonts w:ascii="Arial" w:hAnsi="Arial" w:cs="Arial"/>
        </w:rPr>
        <w:t> </w:t>
      </w:r>
      <w:r w:rsidRPr="00DA041A">
        <w:rPr>
          <w:rFonts w:ascii="Gill Sans MT" w:hAnsi="Gill Sans MT"/>
          <w:i/>
          <w:iCs/>
        </w:rPr>
        <w:t>Coupez en deux parts l’enfant vivant, et donnez en une moitié à l’une de ces femmes, une moitié à l’autre.</w:t>
      </w:r>
      <w:r w:rsidR="00D363FF">
        <w:rPr>
          <w:rFonts w:ascii="Arial" w:hAnsi="Arial" w:cs="Arial"/>
        </w:rPr>
        <w:t> </w:t>
      </w:r>
      <w:r w:rsidRPr="004D5DE2">
        <w:rPr>
          <w:rFonts w:ascii="Gill Sans MT" w:hAnsi="Gill Sans MT"/>
        </w:rPr>
        <w:t>»</w:t>
      </w:r>
    </w:p>
    <w:p w14:paraId="4190A43F" w14:textId="77777777" w:rsidR="004D5DE2" w:rsidRPr="004D5DE2" w:rsidRDefault="004D5DE2" w:rsidP="00DA041A">
      <w:pPr>
        <w:ind w:left="567"/>
        <w:jc w:val="both"/>
        <w:rPr>
          <w:rFonts w:ascii="Gill Sans MT" w:hAnsi="Gill Sans MT"/>
        </w:rPr>
      </w:pPr>
      <w:r w:rsidRPr="004D5DE2">
        <w:rPr>
          <w:rFonts w:ascii="Gill Sans MT" w:hAnsi="Gill Sans MT"/>
        </w:rPr>
        <w:t>La mère de l’enfant vivant, dont les entrailles étaient émues de pitié pour son fils, s’écria, parlant au roi : «</w:t>
      </w:r>
      <w:r w:rsidR="00D363FF">
        <w:rPr>
          <w:rFonts w:ascii="Arial" w:hAnsi="Arial" w:cs="Arial"/>
        </w:rPr>
        <w:t> </w:t>
      </w:r>
      <w:r w:rsidRPr="00DA041A">
        <w:rPr>
          <w:rFonts w:ascii="Gill Sans MT" w:hAnsi="Gill Sans MT"/>
          <w:i/>
          <w:iCs/>
        </w:rPr>
        <w:t>De grâce, seigneur</w:t>
      </w:r>
      <w:r w:rsidR="00D363FF">
        <w:rPr>
          <w:rFonts w:ascii="Arial" w:hAnsi="Arial" w:cs="Arial"/>
          <w:i/>
          <w:iCs/>
        </w:rPr>
        <w:t> </w:t>
      </w:r>
      <w:r w:rsidRPr="00DA041A">
        <w:rPr>
          <w:rFonts w:ascii="Gill Sans MT" w:hAnsi="Gill Sans MT"/>
          <w:i/>
          <w:iCs/>
        </w:rPr>
        <w:t>! Qu’on lui donne l’enfant vivant, qu’on ne le fasse pas mourir</w:t>
      </w:r>
      <w:r w:rsidR="00D363FF">
        <w:rPr>
          <w:rFonts w:ascii="Arial" w:hAnsi="Arial" w:cs="Arial"/>
          <w:i/>
          <w:iCs/>
        </w:rPr>
        <w:t> </w:t>
      </w:r>
      <w:r w:rsidRPr="00DA041A">
        <w:rPr>
          <w:rFonts w:ascii="Gill Sans MT" w:hAnsi="Gill Sans MT"/>
          <w:i/>
          <w:iCs/>
        </w:rPr>
        <w:t>!</w:t>
      </w:r>
      <w:r w:rsidR="00D363FF">
        <w:rPr>
          <w:rFonts w:ascii="Arial" w:hAnsi="Arial" w:cs="Arial"/>
        </w:rPr>
        <w:t> </w:t>
      </w:r>
      <w:r w:rsidRPr="004D5DE2">
        <w:rPr>
          <w:rFonts w:ascii="Gill Sans MT" w:hAnsi="Gill Sans MT"/>
        </w:rPr>
        <w:t>» Mais l’autre disait : «</w:t>
      </w:r>
      <w:r w:rsidR="00D363FF">
        <w:rPr>
          <w:rFonts w:ascii="Arial" w:hAnsi="Arial" w:cs="Arial"/>
        </w:rPr>
        <w:t> </w:t>
      </w:r>
      <w:r w:rsidRPr="00DA041A">
        <w:rPr>
          <w:rFonts w:ascii="Gill Sans MT" w:hAnsi="Gill Sans MT"/>
          <w:i/>
          <w:iCs/>
        </w:rPr>
        <w:t>Ni toi ni moi ne l’aurons : coupez</w:t>
      </w:r>
      <w:r w:rsidR="00D363FF">
        <w:rPr>
          <w:rFonts w:ascii="Arial" w:hAnsi="Arial" w:cs="Arial"/>
          <w:i/>
          <w:iCs/>
        </w:rPr>
        <w:t> </w:t>
      </w:r>
      <w:r w:rsidRPr="00DA041A">
        <w:rPr>
          <w:rFonts w:ascii="Gill Sans MT" w:hAnsi="Gill Sans MT"/>
          <w:i/>
          <w:iCs/>
        </w:rPr>
        <w:t>!</w:t>
      </w:r>
      <w:r w:rsidR="00D363FF">
        <w:rPr>
          <w:rFonts w:ascii="Arial" w:hAnsi="Arial" w:cs="Arial"/>
        </w:rPr>
        <w:t> </w:t>
      </w:r>
      <w:r w:rsidRPr="004D5DE2">
        <w:rPr>
          <w:rFonts w:ascii="Gill Sans MT" w:hAnsi="Gill Sans MT"/>
        </w:rPr>
        <w:t>»</w:t>
      </w:r>
    </w:p>
    <w:p w14:paraId="64F9ED56" w14:textId="77777777" w:rsidR="004D5DE2" w:rsidRPr="004D5DE2" w:rsidRDefault="004D5DE2" w:rsidP="00DA041A">
      <w:pPr>
        <w:ind w:left="567"/>
        <w:jc w:val="both"/>
        <w:rPr>
          <w:rFonts w:ascii="Gill Sans MT" w:hAnsi="Gill Sans MT"/>
        </w:rPr>
      </w:pPr>
      <w:r w:rsidRPr="004D5DE2">
        <w:rPr>
          <w:rFonts w:ascii="Gill Sans MT" w:hAnsi="Gill Sans MT"/>
        </w:rPr>
        <w:t>Le roi reprit alors la parole et dit : «</w:t>
      </w:r>
      <w:r w:rsidR="00D363FF">
        <w:rPr>
          <w:rFonts w:ascii="Arial" w:hAnsi="Arial" w:cs="Arial"/>
        </w:rPr>
        <w:t> </w:t>
      </w:r>
      <w:r w:rsidRPr="00DA041A">
        <w:rPr>
          <w:rFonts w:ascii="Gill Sans MT" w:hAnsi="Gill Sans MT"/>
          <w:i/>
          <w:iCs/>
        </w:rPr>
        <w:t>Donnez-lui l’enfant vivant et gardez-vous de le faire mourir : celle-ci est sa mère.</w:t>
      </w:r>
      <w:r w:rsidR="00D363FF">
        <w:rPr>
          <w:rFonts w:ascii="Arial" w:hAnsi="Arial" w:cs="Arial"/>
        </w:rPr>
        <w:t> </w:t>
      </w:r>
      <w:r w:rsidRPr="004D5DE2">
        <w:rPr>
          <w:rFonts w:ascii="Gill Sans MT" w:hAnsi="Gill Sans MT"/>
        </w:rPr>
        <w:t>» </w:t>
      </w:r>
    </w:p>
    <w:p w14:paraId="6312E97C" w14:textId="77777777" w:rsidR="004D5DE2" w:rsidRPr="004D5DE2" w:rsidRDefault="004D5DE2" w:rsidP="00DA041A">
      <w:pPr>
        <w:ind w:left="567"/>
        <w:jc w:val="both"/>
        <w:rPr>
          <w:rFonts w:ascii="Gill Sans MT" w:hAnsi="Gill Sans MT"/>
        </w:rPr>
      </w:pPr>
    </w:p>
    <w:p w14:paraId="679433CE" w14:textId="77777777" w:rsidR="004D5DE2" w:rsidRPr="004D5DE2" w:rsidRDefault="004D5DE2" w:rsidP="00DA041A">
      <w:pPr>
        <w:ind w:left="567"/>
        <w:jc w:val="right"/>
        <w:rPr>
          <w:rFonts w:ascii="Gill Sans MT" w:hAnsi="Gill Sans MT"/>
        </w:rPr>
      </w:pPr>
      <w:r w:rsidRPr="004D5DE2">
        <w:rPr>
          <w:rFonts w:ascii="Gill Sans MT" w:hAnsi="Gill Sans MT"/>
        </w:rPr>
        <w:t xml:space="preserve">(Traduction : La Bible du </w:t>
      </w:r>
      <w:r w:rsidR="00D363FF">
        <w:rPr>
          <w:rFonts w:ascii="Gill Sans MT" w:hAnsi="Gill Sans MT"/>
        </w:rPr>
        <w:t>R</w:t>
      </w:r>
      <w:r w:rsidRPr="004D5DE2">
        <w:rPr>
          <w:rFonts w:ascii="Gill Sans MT" w:hAnsi="Gill Sans MT"/>
        </w:rPr>
        <w:t>abbinat)</w:t>
      </w:r>
    </w:p>
    <w:p w14:paraId="3B94460B" w14:textId="77777777" w:rsidR="00E034C1" w:rsidRPr="004D5DE2" w:rsidRDefault="00E034C1" w:rsidP="004D5DE2">
      <w:pPr>
        <w:jc w:val="both"/>
        <w:rPr>
          <w:rFonts w:ascii="Gill Sans MT" w:hAnsi="Gill Sans MT"/>
        </w:rPr>
      </w:pPr>
    </w:p>
    <w:sectPr w:rsidR="00E034C1" w:rsidRPr="004D5DE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F869B" w14:textId="77777777" w:rsidR="00D608E9" w:rsidRDefault="00D608E9" w:rsidP="00DA041A">
      <w:pPr>
        <w:spacing w:after="0" w:line="240" w:lineRule="auto"/>
      </w:pPr>
      <w:r>
        <w:separator/>
      </w:r>
    </w:p>
  </w:endnote>
  <w:endnote w:type="continuationSeparator" w:id="0">
    <w:p w14:paraId="31BBF987" w14:textId="77777777" w:rsidR="00D608E9" w:rsidRDefault="00D608E9" w:rsidP="00DA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2DB61" w14:textId="77777777" w:rsidR="00D363FF" w:rsidRDefault="00D363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79226572"/>
      <w:docPartObj>
        <w:docPartGallery w:val="Page Numbers (Bottom of Page)"/>
        <w:docPartUnique/>
      </w:docPartObj>
    </w:sdtPr>
    <w:sdtEndPr/>
    <w:sdtContent>
      <w:p w14:paraId="6B6DDC28" w14:textId="77777777" w:rsidR="00D363FF" w:rsidRPr="00D363FF" w:rsidRDefault="00D363FF">
        <w:pPr>
          <w:pStyle w:val="Pieddepage"/>
          <w:jc w:val="right"/>
          <w:rPr>
            <w:sz w:val="20"/>
            <w:szCs w:val="20"/>
          </w:rPr>
        </w:pPr>
        <w:r w:rsidRPr="00D363FF">
          <w:rPr>
            <w:sz w:val="20"/>
            <w:szCs w:val="20"/>
          </w:rPr>
          <w:t>Opposition Baroque</w:t>
        </w:r>
        <w:r>
          <w:rPr>
            <w:sz w:val="20"/>
            <w:szCs w:val="20"/>
          </w:rPr>
          <w:t>/</w:t>
        </w:r>
        <w:r w:rsidRPr="00D363FF">
          <w:rPr>
            <w:sz w:val="20"/>
            <w:szCs w:val="20"/>
          </w:rPr>
          <w:t>Classicisme</w:t>
        </w:r>
        <w:r>
          <w:rPr>
            <w:sz w:val="20"/>
            <w:szCs w:val="20"/>
          </w:rPr>
          <w:t> </w:t>
        </w:r>
        <w:r w:rsidRPr="00D363FF">
          <w:rPr>
            <w:sz w:val="20"/>
            <w:szCs w:val="20"/>
          </w:rPr>
          <w:t xml:space="preserve">: Rubens et Poussin - </w:t>
        </w:r>
        <w:r w:rsidRPr="00D363FF">
          <w:rPr>
            <w:sz w:val="20"/>
            <w:szCs w:val="20"/>
          </w:rPr>
          <w:fldChar w:fldCharType="begin"/>
        </w:r>
        <w:r w:rsidRPr="00D363FF">
          <w:rPr>
            <w:sz w:val="20"/>
            <w:szCs w:val="20"/>
          </w:rPr>
          <w:instrText>PAGE   \* MERGEFORMAT</w:instrText>
        </w:r>
        <w:r w:rsidRPr="00D363FF">
          <w:rPr>
            <w:sz w:val="20"/>
            <w:szCs w:val="20"/>
          </w:rPr>
          <w:fldChar w:fldCharType="separate"/>
        </w:r>
        <w:r w:rsidRPr="00D363FF">
          <w:rPr>
            <w:sz w:val="20"/>
            <w:szCs w:val="20"/>
          </w:rPr>
          <w:t>2</w:t>
        </w:r>
        <w:r w:rsidRPr="00D363FF">
          <w:rPr>
            <w:sz w:val="20"/>
            <w:szCs w:val="20"/>
          </w:rPr>
          <w:fldChar w:fldCharType="end"/>
        </w:r>
      </w:p>
    </w:sdtContent>
  </w:sdt>
  <w:p w14:paraId="70A3D48D" w14:textId="77777777" w:rsidR="00D363FF" w:rsidRDefault="00D363F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4B0E" w14:textId="77777777" w:rsidR="00D363FF" w:rsidRDefault="00D363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B841" w14:textId="77777777" w:rsidR="00D608E9" w:rsidRDefault="00D608E9" w:rsidP="00DA041A">
      <w:pPr>
        <w:spacing w:after="0" w:line="240" w:lineRule="auto"/>
      </w:pPr>
      <w:r>
        <w:separator/>
      </w:r>
    </w:p>
  </w:footnote>
  <w:footnote w:type="continuationSeparator" w:id="0">
    <w:p w14:paraId="6779BCE9" w14:textId="77777777" w:rsidR="00D608E9" w:rsidRDefault="00D608E9" w:rsidP="00DA0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BA7C" w14:textId="77777777" w:rsidR="00D363FF" w:rsidRDefault="00D363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317D" w14:textId="77777777" w:rsidR="00D363FF" w:rsidRDefault="00D363F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116CC" w14:textId="77777777" w:rsidR="00D363FF" w:rsidRDefault="00D363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23B47"/>
    <w:multiLevelType w:val="hybridMultilevel"/>
    <w:tmpl w:val="BE08EF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BB93C59"/>
    <w:multiLevelType w:val="hybridMultilevel"/>
    <w:tmpl w:val="E73C9A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4BE00FB"/>
    <w:multiLevelType w:val="hybridMultilevel"/>
    <w:tmpl w:val="9C5044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A7C3659"/>
    <w:multiLevelType w:val="hybridMultilevel"/>
    <w:tmpl w:val="173CD8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E2"/>
    <w:rsid w:val="002C2ABB"/>
    <w:rsid w:val="00392427"/>
    <w:rsid w:val="003F3E5F"/>
    <w:rsid w:val="004870EF"/>
    <w:rsid w:val="004D5DE2"/>
    <w:rsid w:val="005C4048"/>
    <w:rsid w:val="008633C1"/>
    <w:rsid w:val="009B5FC0"/>
    <w:rsid w:val="009E1BB5"/>
    <w:rsid w:val="00BF3373"/>
    <w:rsid w:val="00D363FF"/>
    <w:rsid w:val="00D608E9"/>
    <w:rsid w:val="00D83F8F"/>
    <w:rsid w:val="00DA041A"/>
    <w:rsid w:val="00E034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30DC9"/>
  <w15:chartTrackingRefBased/>
  <w15:docId w15:val="{27C95204-4F95-4151-B25A-CC646FE8B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5DE2"/>
    <w:pPr>
      <w:ind w:left="720"/>
      <w:contextualSpacing/>
    </w:pPr>
  </w:style>
  <w:style w:type="paragraph" w:styleId="En-tte">
    <w:name w:val="header"/>
    <w:basedOn w:val="Normal"/>
    <w:link w:val="En-tteCar"/>
    <w:uiPriority w:val="99"/>
    <w:unhideWhenUsed/>
    <w:rsid w:val="00DA041A"/>
    <w:pPr>
      <w:tabs>
        <w:tab w:val="center" w:pos="4536"/>
        <w:tab w:val="right" w:pos="9072"/>
      </w:tabs>
      <w:spacing w:after="0" w:line="240" w:lineRule="auto"/>
    </w:pPr>
  </w:style>
  <w:style w:type="character" w:customStyle="1" w:styleId="En-tteCar">
    <w:name w:val="En-tête Car"/>
    <w:basedOn w:val="Policepardfaut"/>
    <w:link w:val="En-tte"/>
    <w:uiPriority w:val="99"/>
    <w:rsid w:val="00DA041A"/>
    <w:rPr>
      <w:lang w:val="fr-FR"/>
    </w:rPr>
  </w:style>
  <w:style w:type="paragraph" w:styleId="Pieddepage">
    <w:name w:val="footer"/>
    <w:basedOn w:val="Normal"/>
    <w:link w:val="PieddepageCar"/>
    <w:uiPriority w:val="99"/>
    <w:unhideWhenUsed/>
    <w:rsid w:val="00DA04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041A"/>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954</Words>
  <Characters>5253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4</cp:revision>
  <dcterms:created xsi:type="dcterms:W3CDTF">2019-11-26T09:28:00Z</dcterms:created>
  <dcterms:modified xsi:type="dcterms:W3CDTF">2019-11-26T09:54:00Z</dcterms:modified>
</cp:coreProperties>
</file>